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39BAD">
      <w:pPr>
        <w:keepNext/>
        <w:keepLines/>
        <w:spacing w:before="260" w:after="240" w:line="416" w:lineRule="auto"/>
        <w:outlineLvl w:val="1"/>
        <w:rPr>
          <w:rFonts w:hint="eastAsia" w:ascii="思源黑体 CN Normal" w:hAnsi="思源黑体 CN Normal" w:eastAsia="思源黑体 CN Normal" w:cs="Times New Roman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3675380</wp:posOffset>
            </wp:positionH>
            <wp:positionV relativeFrom="paragraph">
              <wp:posOffset>-392430</wp:posOffset>
            </wp:positionV>
            <wp:extent cx="1722120" cy="1722120"/>
            <wp:effectExtent l="0" t="0" r="11430" b="11430"/>
            <wp:wrapNone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722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思源黑体 CN Normal" w:hAnsi="思源黑体 CN Normal" w:eastAsia="思源黑体 CN Normal" w:cs="Times New Roman"/>
          <w:b/>
          <w:bCs/>
          <w:color w:val="0075C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3551555" cy="357505"/>
                <wp:effectExtent l="4445" t="4445" r="6350" b="19050"/>
                <wp:wrapNone/>
                <wp:docPr id="1452739366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1555" cy="357254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3175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ECD6F48">
                            <w:pPr>
                              <w:spacing w:line="0" w:lineRule="atLeast"/>
                              <w:rPr>
                                <w:rFonts w:hint="eastAsia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800MHz Dual </w:t>
                            </w:r>
                            <w:r>
                              <w:rPr>
                                <w:rFonts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Band-adjustable</w:t>
                            </w:r>
                            <w:r>
                              <w:rPr>
                                <w:rFonts w:hint="eastAsia"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Digital </w:t>
                            </w:r>
                            <w:r>
                              <w:rPr>
                                <w:rFonts w:hint="eastAsia"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R</w:t>
                            </w:r>
                            <w:r>
                              <w:rPr>
                                <w:rFonts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epeater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文本框 3" o:spid="_x0000_s1026" o:spt="2" style="position:absolute;left:0pt;margin-top:18pt;height:28.15pt;width:279.65pt;mso-position-horizontal:left;mso-position-horizontal-relative:margin;z-index:251659264;mso-width-relative:page;mso-height-relative:page;" fillcolor="#2E75B6 [2408]" filled="t" stroked="t" coordsize="21600,21600" arcsize="0.166666666666667" o:gfxdata="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BvRLg01wAAAAYBAAAPAAAAAAAAAAEAIAAAACIA&#10;AABkcnMvZG93bnJldi54bWxQSwECFAAUAAAACACHTuJANysv73wCAADoBAAADgAAAAAAAAABACAA&#10;AAAmAQAAZHJzL2Uyb0RvYy54bWxQSwUGAAAAAAYABgBZAQAAFAYAAAAA&#10;">
                <v:fill on="t" focussize="0,0"/>
                <v:stroke weight="0.25pt" color="#5B9BD5 [3208]" joinstyle="round"/>
                <v:imagedata o:title=""/>
                <o:lock v:ext="edit" aspectratio="f"/>
                <v:textbox>
                  <w:txbxContent>
                    <w:p w14:paraId="1ECD6F48">
                      <w:pPr>
                        <w:spacing w:line="0" w:lineRule="atLeast"/>
                        <w:rPr>
                          <w:rFonts w:hint="eastAsia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800MHz Dual </w:t>
                      </w:r>
                      <w:r>
                        <w:rPr>
                          <w:rFonts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Band-adjustable</w:t>
                      </w:r>
                      <w:r>
                        <w:rPr>
                          <w:rFonts w:hint="eastAsia"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Digital </w:t>
                      </w:r>
                      <w:r>
                        <w:rPr>
                          <w:rFonts w:hint="eastAsia"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</w:t>
                      </w:r>
                      <w:r>
                        <w:rPr>
                          <w:rFonts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epeater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思源黑体 CN Normal" w:hAnsi="思源黑体 CN Normal" w:eastAsia="思源黑体 CN Normal" w:cs="Times New Roman"/>
          <w:b/>
          <w:bCs/>
          <w:color w:val="0075C2"/>
          <w:sz w:val="24"/>
          <w:szCs w:val="24"/>
        </w:rPr>
        <w:t xml:space="preserve"> </w:t>
      </w:r>
    </w:p>
    <w:p w14:paraId="25A7F3AC">
      <w:pPr>
        <w:rPr>
          <w:rFonts w:hint="default" w:ascii="思源黑体 CN Normal" w:hAnsi="思源黑体 CN Normal" w:eastAsia="思源黑体 CN Normal" w:cs="Times New Roman"/>
          <w:spacing w:val="5"/>
          <w:sz w:val="16"/>
          <w:szCs w:val="16"/>
          <w:lang w:val="en-US" w:eastAsia="zh-CN"/>
        </w:rPr>
      </w:pPr>
      <w:r>
        <w:rPr>
          <w:rFonts w:hint="eastAsia" w:ascii="思源黑体 CN Normal" w:hAnsi="思源黑体 CN Normal" w:eastAsia="思源黑体 CN Normal" w:cs="Times New Roman"/>
          <w:spacing w:val="5"/>
          <w:sz w:val="16"/>
          <w:szCs w:val="16"/>
        </w:rPr>
        <w:t>M</w:t>
      </w:r>
      <w:r>
        <w:rPr>
          <w:rFonts w:ascii="思源黑体 CN Normal" w:hAnsi="思源黑体 CN Normal" w:eastAsia="思源黑体 CN Normal" w:cs="Times New Roman"/>
          <w:spacing w:val="5"/>
          <w:sz w:val="16"/>
          <w:szCs w:val="16"/>
        </w:rPr>
        <w:t xml:space="preserve">odel: </w:t>
      </w:r>
      <w:r>
        <w:rPr>
          <w:rFonts w:hint="eastAsia" w:ascii="思源黑体 CN Normal" w:hAnsi="思源黑体 CN Normal" w:eastAsia="思源黑体 CN Normal" w:cs="Times New Roman"/>
          <w:spacing w:val="5"/>
          <w:sz w:val="16"/>
          <w:szCs w:val="16"/>
          <w:lang w:val="en-US" w:eastAsia="zh-CN"/>
        </w:rPr>
        <w:t>DS-ICS-B20-17</w:t>
      </w:r>
    </w:p>
    <w:p w14:paraId="373BCD53">
      <w:pPr>
        <w:keepNext/>
        <w:keepLines/>
        <w:spacing w:before="260" w:line="416" w:lineRule="auto"/>
        <w:outlineLvl w:val="1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  <w:t>P</w:t>
      </w: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roduct F</w:t>
      </w:r>
      <w:r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  <w:t>eatur</w:t>
      </w: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es:</w:t>
      </w:r>
    </w:p>
    <w:p w14:paraId="2E74D5FD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>Digital bandwidth-adjustable features allow for seamless adaptability to different frequency bands.</w:t>
      </w:r>
      <w:r>
        <w:t xml:space="preserve"> </w:t>
      </w:r>
    </w:p>
    <w:p w14:paraId="6642F6C7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LCD display the input/output signal strength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.</w:t>
      </w:r>
    </w:p>
    <w:p w14:paraId="23080895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Auto isolation detection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.</w:t>
      </w:r>
    </w:p>
    <w:p w14:paraId="290D6801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Improve any three mobile networks at the same time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.</w:t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</w:p>
    <w:p w14:paraId="025BBDCB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>Built-in Auto Gain Control (AGC)&amp; Auto Level Control (ALC).</w:t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</w:p>
    <w:p w14:paraId="148CB68B">
      <w:pPr>
        <w:pStyle w:val="10"/>
        <w:numPr>
          <w:ilvl w:val="0"/>
          <w:numId w:val="1"/>
        </w:numPr>
        <w:ind w:firstLineChars="0"/>
        <w:jc w:val="left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Center frequency movable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.</w:t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</w:p>
    <w:p w14:paraId="1ED81258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>OMS Lite for remote/local control and monitoring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(Optional)</w:t>
      </w:r>
    </w:p>
    <w:p w14:paraId="28D4CBC7">
      <w:pPr>
        <w:jc w:val="center"/>
        <w:rPr>
          <w:rFonts w:hint="eastAsia"/>
          <w:color w:val="0075C2"/>
        </w:rPr>
      </w:pPr>
    </w:p>
    <w:p w14:paraId="069A673D">
      <w:pPr>
        <w:keepNext/>
        <w:keepLines/>
        <w:spacing w:before="260" w:line="416" w:lineRule="auto"/>
        <w:outlineLvl w:val="1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Application Scenario:</w:t>
      </w:r>
    </w:p>
    <w:p w14:paraId="6C774FBF">
      <w:pPr>
        <w:jc w:val="center"/>
        <w:rPr>
          <w:rFonts w:hint="eastAsia"/>
          <w:color w:val="0075C2"/>
        </w:rPr>
      </w:pPr>
      <w:r>
        <w:drawing>
          <wp:inline distT="0" distB="0" distL="0" distR="0">
            <wp:extent cx="5694680" cy="2117725"/>
            <wp:effectExtent l="0" t="0" r="127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6686" cy="211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998CB">
      <w:pPr>
        <w:keepNext/>
        <w:keepLines/>
        <w:spacing w:before="260" w:line="416" w:lineRule="auto"/>
        <w:outlineLvl w:val="1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  <w:t>T</w:t>
      </w: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echnical Specifications:</w:t>
      </w:r>
    </w:p>
    <w:tbl>
      <w:tblPr>
        <w:tblStyle w:val="11"/>
        <w:tblW w:w="5263" w:type="pct"/>
        <w:tblInd w:w="-289" w:type="dxa"/>
        <w:tblBorders>
          <w:top w:val="single" w:color="74B5E4" w:sz="4" w:space="0"/>
          <w:left w:val="single" w:color="74B5E4" w:sz="4" w:space="0"/>
          <w:bottom w:val="single" w:color="74B5E4" w:sz="4" w:space="0"/>
          <w:right w:val="single" w:color="74B5E4" w:sz="4" w:space="0"/>
          <w:insideH w:val="single" w:color="74B5E4" w:sz="4" w:space="0"/>
          <w:insideV w:val="single" w:color="74B5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2238"/>
        <w:gridCol w:w="6781"/>
      </w:tblGrid>
      <w:tr w14:paraId="561F0C6F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tcBorders>
              <w:top w:val="single" w:color="2683C6" w:sz="4" w:space="0"/>
              <w:left w:val="single" w:color="2683C6" w:sz="4" w:space="0"/>
              <w:bottom w:val="single" w:color="2683C6" w:sz="4" w:space="0"/>
              <w:right w:val="nil"/>
              <w:insideH w:val="single" w:sz="4" w:space="0"/>
              <w:insideV w:val="nil"/>
            </w:tcBorders>
            <w:shd w:val="clear" w:color="auto" w:fill="2683C6"/>
            <w:noWrap/>
            <w:vAlign w:val="center"/>
          </w:tcPr>
          <w:p w14:paraId="72179423">
            <w:pPr>
              <w:jc w:val="left"/>
              <w:rPr>
                <w:rFonts w:hint="default" w:ascii="思源黑体 CN Normal" w:hAnsi="思源黑体 CN Normal" w:eastAsia="思源黑体 CN Normal" w:cs="Times New Roman"/>
                <w:b/>
                <w:bCs/>
                <w:color w:val="FFFFFF"/>
                <w:sz w:val="16"/>
                <w:szCs w:val="16"/>
                <w:lang w:val="en-US"/>
              </w:rPr>
            </w:pPr>
            <w:bookmarkStart w:id="0" w:name="_GoBack" w:colFirst="2" w:colLast="2"/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</w:rPr>
              <w:t xml:space="preserve">P/N: </w:t>
            </w:r>
            <w:r>
              <w:rPr>
                <w:rFonts w:hint="eastAsia" w:ascii="思源黑体 CN Normal" w:hAnsi="思源黑体 CN Normal" w:eastAsia="思源黑体 CN Normal" w:cs="Times New Roman"/>
                <w:spacing w:val="5"/>
                <w:sz w:val="16"/>
                <w:szCs w:val="16"/>
                <w:lang w:val="en-US" w:eastAsia="zh-CN"/>
              </w:rPr>
              <w:t>DS-ICS-CP-17</w:t>
            </w:r>
          </w:p>
        </w:tc>
        <w:tc>
          <w:tcPr>
            <w:tcW w:w="3345" w:type="pct"/>
            <w:tcBorders>
              <w:top w:val="single" w:color="2683C6" w:sz="4" w:space="0"/>
              <w:bottom w:val="single" w:color="2683C6" w:sz="4" w:space="0"/>
              <w:right w:val="single" w:color="2683C6" w:sz="4" w:space="0"/>
              <w:insideH w:val="single" w:sz="4" w:space="0"/>
              <w:insideV w:val="nil"/>
            </w:tcBorders>
            <w:shd w:val="clear" w:color="auto" w:fill="2683C6"/>
            <w:noWrap/>
            <w:vAlign w:val="top"/>
          </w:tcPr>
          <w:p w14:paraId="0BB266D1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B20（800MHz）</w:t>
            </w:r>
          </w:p>
        </w:tc>
      </w:tr>
      <w:bookmarkEnd w:id="0"/>
      <w:tr w14:paraId="76642861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9" w:type="pct"/>
            <w:vMerge w:val="restart"/>
            <w:shd w:val="clear" w:color="auto" w:fill="D0E6F6"/>
            <w:vAlign w:val="center"/>
          </w:tcPr>
          <w:p w14:paraId="002CD41F">
            <w:pPr>
              <w:jc w:val="left"/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Frequency Range(adjustable)</w:t>
            </w:r>
          </w:p>
        </w:tc>
        <w:tc>
          <w:tcPr>
            <w:tcW w:w="1104" w:type="pct"/>
            <w:shd w:val="clear" w:color="auto" w:fill="D0E6F6"/>
            <w:vAlign w:val="center"/>
          </w:tcPr>
          <w:p w14:paraId="52D25BEA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Uplink</w:t>
            </w:r>
          </w:p>
        </w:tc>
        <w:tc>
          <w:tcPr>
            <w:tcW w:w="3345" w:type="pct"/>
            <w:shd w:val="clear" w:color="auto" w:fill="D0E6F6"/>
            <w:noWrap/>
            <w:vAlign w:val="top"/>
          </w:tcPr>
          <w:p w14:paraId="507367DB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832-862MHz</w:t>
            </w:r>
          </w:p>
        </w:tc>
      </w:tr>
      <w:tr w14:paraId="6C895D4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549" w:type="pct"/>
            <w:vMerge w:val="continue"/>
            <w:vAlign w:val="center"/>
          </w:tcPr>
          <w:p w14:paraId="7B6DF9AF">
            <w:pPr>
              <w:ind w:firstLine="320"/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</w:p>
        </w:tc>
        <w:tc>
          <w:tcPr>
            <w:tcW w:w="1104" w:type="pct"/>
            <w:vAlign w:val="center"/>
          </w:tcPr>
          <w:p w14:paraId="4510B6DE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D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ownlink</w:t>
            </w:r>
          </w:p>
        </w:tc>
        <w:tc>
          <w:tcPr>
            <w:tcW w:w="3345" w:type="pct"/>
            <w:noWrap/>
            <w:vAlign w:val="top"/>
          </w:tcPr>
          <w:p w14:paraId="30273E2F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791-821MHz</w:t>
            </w:r>
          </w:p>
        </w:tc>
      </w:tr>
      <w:tr w14:paraId="3A4D8B88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54" w:type="pct"/>
            <w:gridSpan w:val="2"/>
            <w:shd w:val="clear" w:color="auto" w:fill="D0E6F6"/>
            <w:vAlign w:val="center"/>
          </w:tcPr>
          <w:p w14:paraId="2F5B0D71">
            <w:pPr>
              <w:rPr>
                <w:rFonts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Number of Sub-bands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7665CBEF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1-2</w:t>
            </w:r>
          </w:p>
        </w:tc>
      </w:tr>
      <w:tr w14:paraId="21022CA9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654" w:type="pct"/>
            <w:gridSpan w:val="2"/>
            <w:vAlign w:val="center"/>
          </w:tcPr>
          <w:p w14:paraId="4DB9806D">
            <w:pP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Bandwidth (adjustable)</w:t>
            </w:r>
          </w:p>
        </w:tc>
        <w:tc>
          <w:tcPr>
            <w:tcW w:w="3345" w:type="pct"/>
            <w:vAlign w:val="center"/>
          </w:tcPr>
          <w:p w14:paraId="44FC602B">
            <w:pPr>
              <w:jc w:val="center"/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FF0000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  <w:lang w:val="en-US" w:eastAsia="zh-CN"/>
              </w:rPr>
              <w:t>5-20</w:t>
            </w: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  <w:t>MHz</w:t>
            </w:r>
          </w:p>
        </w:tc>
      </w:tr>
      <w:tr w14:paraId="792A5182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9" w:type="pct"/>
            <w:vMerge w:val="restart"/>
            <w:shd w:val="clear" w:color="auto" w:fill="D0E6F6"/>
            <w:noWrap/>
            <w:vAlign w:val="center"/>
          </w:tcPr>
          <w:p w14:paraId="6B781D78">
            <w:pP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Max. Gain</w:t>
            </w:r>
          </w:p>
        </w:tc>
        <w:tc>
          <w:tcPr>
            <w:tcW w:w="1104" w:type="pct"/>
            <w:shd w:val="clear" w:color="auto" w:fill="D0E6F6"/>
            <w:vAlign w:val="center"/>
          </w:tcPr>
          <w:p w14:paraId="7A0F68C5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Uplink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166699E3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65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2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</w:tr>
      <w:tr w14:paraId="5A7E6D9D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9" w:type="pct"/>
            <w:vMerge w:val="continue"/>
            <w:noWrap/>
            <w:vAlign w:val="center"/>
          </w:tcPr>
          <w:p w14:paraId="6785E355">
            <w:pPr>
              <w:ind w:firstLine="326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</w:p>
        </w:tc>
        <w:tc>
          <w:tcPr>
            <w:tcW w:w="1104" w:type="pct"/>
            <w:vAlign w:val="center"/>
          </w:tcPr>
          <w:p w14:paraId="166F1E81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Downlink</w:t>
            </w:r>
          </w:p>
        </w:tc>
        <w:tc>
          <w:tcPr>
            <w:tcW w:w="3345" w:type="pct"/>
            <w:noWrap/>
            <w:vAlign w:val="center"/>
          </w:tcPr>
          <w:p w14:paraId="420BD1DA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75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2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</w:tr>
      <w:tr w14:paraId="0A9101D1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shd w:val="clear" w:color="auto" w:fill="D0E6F6"/>
            <w:noWrap/>
            <w:vAlign w:val="center"/>
          </w:tcPr>
          <w:p w14:paraId="3F3FFC92">
            <w:pPr>
              <w:ind w:firstLine="28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 xml:space="preserve">Manual Gain Control 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14C95365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0-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3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 in step of 1 dB</w:t>
            </w:r>
          </w:p>
        </w:tc>
      </w:tr>
      <w:tr w14:paraId="4BB8321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noWrap/>
            <w:vAlign w:val="center"/>
          </w:tcPr>
          <w:p w14:paraId="77FF6446">
            <w:pPr>
              <w:ind w:firstLine="28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Automatic Gain Control</w:t>
            </w:r>
          </w:p>
        </w:tc>
        <w:tc>
          <w:tcPr>
            <w:tcW w:w="3345" w:type="pct"/>
            <w:noWrap/>
            <w:vAlign w:val="center"/>
          </w:tcPr>
          <w:p w14:paraId="1BB6B7DC">
            <w:pPr>
              <w:ind w:firstLine="320"/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≧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20 dB</w:t>
            </w:r>
          </w:p>
        </w:tc>
      </w:tr>
      <w:tr w14:paraId="747F3B2A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shd w:val="clear" w:color="auto" w:fill="DEEBF6" w:themeFill="accent5" w:themeFillTint="32"/>
            <w:noWrap/>
            <w:vAlign w:val="center"/>
          </w:tcPr>
          <w:p w14:paraId="0807C078">
            <w:pPr>
              <w:ind w:firstLine="28"/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Pass Band Ripple</w:t>
            </w:r>
          </w:p>
        </w:tc>
        <w:tc>
          <w:tcPr>
            <w:tcW w:w="3345" w:type="pct"/>
            <w:shd w:val="clear" w:color="auto" w:fill="DEEBF6" w:themeFill="accent5" w:themeFillTint="32"/>
            <w:noWrap/>
            <w:vAlign w:val="center"/>
          </w:tcPr>
          <w:p w14:paraId="2F0044DB">
            <w:pPr>
              <w:ind w:firstLine="320"/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2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</w:tr>
      <w:tr w14:paraId="5209F0A8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noWrap/>
            <w:vAlign w:val="center"/>
          </w:tcPr>
          <w:p w14:paraId="4321DED7">
            <w:pPr>
              <w:ind w:firstLine="28"/>
              <w:rPr>
                <w:rFonts w:hint="default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  <w:t>Echo Cancellation</w:t>
            </w:r>
          </w:p>
        </w:tc>
        <w:tc>
          <w:tcPr>
            <w:tcW w:w="3345" w:type="pct"/>
            <w:noWrap/>
            <w:vAlign w:val="center"/>
          </w:tcPr>
          <w:p w14:paraId="4A402CC1">
            <w:pPr>
              <w:ind w:firstLine="320"/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25dB</w:t>
            </w:r>
          </w:p>
        </w:tc>
      </w:tr>
      <w:tr w14:paraId="3676C0CB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noWrap/>
            <w:vAlign w:val="center"/>
          </w:tcPr>
          <w:p w14:paraId="6C3C4447">
            <w:pPr>
              <w:ind w:firstLine="28"/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 xml:space="preserve">Spurious Emission </w:t>
            </w:r>
          </w:p>
        </w:tc>
        <w:tc>
          <w:tcPr>
            <w:tcW w:w="3345" w:type="pct"/>
            <w:noWrap/>
            <w:vAlign w:val="center"/>
          </w:tcPr>
          <w:p w14:paraId="1BCBF5B0">
            <w:pPr>
              <w:ind w:firstLine="320"/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Comply with 3GPP TS36.106</w:t>
            </w:r>
          </w:p>
        </w:tc>
      </w:tr>
      <w:tr w14:paraId="22E4CF68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shd w:val="clear" w:color="auto" w:fill="D0E6F6"/>
            <w:noWrap/>
            <w:vAlign w:val="center"/>
          </w:tcPr>
          <w:p w14:paraId="7466548C">
            <w:pPr>
              <w:ind w:firstLine="28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Gain Flatness (per sub-band)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1F588B4D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3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 (peak-to-peak)</w:t>
            </w:r>
          </w:p>
        </w:tc>
      </w:tr>
      <w:tr w14:paraId="3113052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noWrap/>
            <w:vAlign w:val="center"/>
          </w:tcPr>
          <w:p w14:paraId="3EF598BB">
            <w:pPr>
              <w:ind w:firstLine="28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Max. Input Power Without Damage</w:t>
            </w:r>
          </w:p>
        </w:tc>
        <w:tc>
          <w:tcPr>
            <w:tcW w:w="3345" w:type="pct"/>
            <w:noWrap/>
            <w:vAlign w:val="center"/>
          </w:tcPr>
          <w:p w14:paraId="6EF11081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0 dBm</w:t>
            </w:r>
          </w:p>
        </w:tc>
      </w:tr>
      <w:tr w14:paraId="6A5422D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9" w:type="pct"/>
            <w:vMerge w:val="restart"/>
            <w:shd w:val="clear" w:color="auto" w:fill="D0E6F6"/>
            <w:vAlign w:val="center"/>
          </w:tcPr>
          <w:p w14:paraId="41B94604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  <w:t>Output Power</w:t>
            </w:r>
          </w:p>
        </w:tc>
        <w:tc>
          <w:tcPr>
            <w:tcW w:w="1104" w:type="pct"/>
            <w:shd w:val="clear" w:color="auto" w:fill="D0E6F6"/>
            <w:vAlign w:val="center"/>
          </w:tcPr>
          <w:p w14:paraId="7BBFDEAB">
            <w:pP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Uplink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232555AA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7±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dBm</w:t>
            </w:r>
          </w:p>
        </w:tc>
      </w:tr>
      <w:tr w14:paraId="364311D3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9" w:type="pct"/>
            <w:vMerge w:val="continue"/>
            <w:vAlign w:val="center"/>
          </w:tcPr>
          <w:p w14:paraId="38C961E8">
            <w:pPr>
              <w:ind w:firstLine="326"/>
              <w:rPr>
                <w:rFonts w:hint="eastAsia" w:ascii="思源黑体 CN Normal" w:hAnsi="思源黑体 CN Normal" w:eastAsia="思源黑体 CN Normal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04" w:type="pct"/>
            <w:vAlign w:val="center"/>
          </w:tcPr>
          <w:p w14:paraId="20BDC5EB">
            <w:pP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Downlink</w:t>
            </w:r>
          </w:p>
        </w:tc>
        <w:tc>
          <w:tcPr>
            <w:tcW w:w="3345" w:type="pct"/>
            <w:noWrap/>
            <w:vAlign w:val="center"/>
          </w:tcPr>
          <w:p w14:paraId="64F56C27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17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±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dBm</w:t>
            </w:r>
          </w:p>
        </w:tc>
      </w:tr>
      <w:tr w14:paraId="2C4D8EB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49" w:type="pct"/>
            <w:vMerge w:val="restart"/>
            <w:shd w:val="clear" w:color="auto" w:fill="D0E6F6"/>
            <w:vAlign w:val="center"/>
          </w:tcPr>
          <w:p w14:paraId="57E92242">
            <w:pP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  <w:t>Out of Band Gain</w:t>
            </w:r>
          </w:p>
        </w:tc>
        <w:tc>
          <w:tcPr>
            <w:tcW w:w="1104" w:type="pct"/>
            <w:shd w:val="clear" w:color="auto" w:fill="D0E6F6"/>
            <w:vAlign w:val="center"/>
          </w:tcPr>
          <w:p w14:paraId="460F9695">
            <w:pP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auto"/>
                <w:sz w:val="16"/>
                <w:szCs w:val="16"/>
              </w:rPr>
              <w:t>2</w:t>
            </w: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,</w:t>
            </w:r>
            <w:r>
              <w:rPr>
                <w:rFonts w:ascii="微软雅黑" w:hAnsi="微软雅黑" w:eastAsia="微软雅黑" w:cs="宋体"/>
                <w:color w:val="auto"/>
                <w:sz w:val="16"/>
                <w:szCs w:val="16"/>
              </w:rPr>
              <w:t>5</w:t>
            </w: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Symbol" w:hAnsi="Symbol" w:eastAsia="微软雅黑" w:cs="宋体"/>
                <w:color w:val="auto"/>
                <w:sz w:val="16"/>
                <w:szCs w:val="16"/>
              </w:rPr>
              <w:t>£</w:t>
            </w: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 xml:space="preserve"> f_offset_CW&lt; 5,0 MHz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1B913290">
            <w:pPr>
              <w:jc w:val="center"/>
              <w:rPr>
                <w:rFonts w:hint="eastAsia" w:ascii="思源黑体 CN Normal" w:hAnsi="思源黑体 CN Normal" w:eastAsia="思源黑体 CN Normal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≤60 dB</w:t>
            </w:r>
          </w:p>
        </w:tc>
      </w:tr>
      <w:tr w14:paraId="08B9C39E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9" w:type="pct"/>
            <w:vMerge w:val="continue"/>
            <w:shd w:val="clear" w:color="auto" w:fill="D0E6F6"/>
            <w:vAlign w:val="center"/>
          </w:tcPr>
          <w:p w14:paraId="4EBEB224">
            <w:pP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tcW w:w="1104" w:type="pct"/>
            <w:shd w:val="clear" w:color="auto" w:fill="D0E6F6"/>
            <w:vAlign w:val="center"/>
          </w:tcPr>
          <w:p w14:paraId="0E69ECA9">
            <w:pP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5,0</w:t>
            </w:r>
            <w:r>
              <w:rPr>
                <w:rFonts w:ascii="Symbol" w:hAnsi="Symbol" w:eastAsia="微软雅黑" w:cs="宋体"/>
                <w:color w:val="auto"/>
                <w:sz w:val="16"/>
                <w:szCs w:val="16"/>
              </w:rPr>
              <w:t>£</w:t>
            </w: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f_offset_CW&lt;10,0 MHz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33C78804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≤45 dB</w:t>
            </w:r>
          </w:p>
        </w:tc>
      </w:tr>
      <w:tr w14:paraId="5596957B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9" w:type="pct"/>
            <w:vMerge w:val="continue"/>
            <w:shd w:val="clear" w:color="auto" w:fill="D0E6F6"/>
            <w:vAlign w:val="center"/>
          </w:tcPr>
          <w:p w14:paraId="52B6B7F6">
            <w:pP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tcW w:w="1104" w:type="pct"/>
            <w:shd w:val="clear" w:color="auto" w:fill="D0E6F6"/>
            <w:vAlign w:val="center"/>
          </w:tcPr>
          <w:p w14:paraId="272D6F7F">
            <w:pP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 xml:space="preserve">10,0 MHz </w:t>
            </w:r>
            <w:r>
              <w:rPr>
                <w:rFonts w:ascii="Symbol" w:hAnsi="Symbol" w:eastAsia="微软雅黑" w:cs="宋体"/>
                <w:color w:val="auto"/>
                <w:sz w:val="16"/>
                <w:szCs w:val="16"/>
              </w:rPr>
              <w:t>£</w:t>
            </w: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 xml:space="preserve"> f_offset_CW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4CE3ADFD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auto"/>
                <w:sz w:val="16"/>
                <w:szCs w:val="16"/>
              </w:rPr>
              <w:t>≤35 dB</w:t>
            </w:r>
          </w:p>
        </w:tc>
      </w:tr>
      <w:tr w14:paraId="0DC7CC49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549" w:type="pct"/>
            <w:vMerge w:val="restart"/>
            <w:shd w:val="clear" w:color="auto" w:fill="D0E6F6"/>
            <w:vAlign w:val="center"/>
          </w:tcPr>
          <w:p w14:paraId="37F0795E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ACRR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1F6CD328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20/100MHz</w:t>
            </w:r>
          </w:p>
        </w:tc>
        <w:tc>
          <w:tcPr>
            <w:tcW w:w="3345" w:type="pct"/>
            <w:shd w:val="clear" w:color="auto" w:fill="auto"/>
            <w:noWrap/>
            <w:vAlign w:val="center"/>
          </w:tcPr>
          <w:p w14:paraId="2BAFAE8B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-36dBc/30KHz</w:t>
            </w:r>
          </w:p>
        </w:tc>
      </w:tr>
      <w:tr w14:paraId="2B567B87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549" w:type="pct"/>
            <w:vMerge w:val="continue"/>
            <w:shd w:val="clear" w:color="auto" w:fill="D0E6F6"/>
            <w:vAlign w:val="center"/>
          </w:tcPr>
          <w:p w14:paraId="44F4D26D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</w:p>
        </w:tc>
        <w:tc>
          <w:tcPr>
            <w:tcW w:w="1104" w:type="pct"/>
            <w:shd w:val="clear" w:color="auto" w:fill="D0E6F6"/>
            <w:vAlign w:val="center"/>
          </w:tcPr>
          <w:p w14:paraId="7F398B7E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40/200MHz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43764589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-40dBc/30KHz</w:t>
            </w:r>
          </w:p>
        </w:tc>
      </w:tr>
      <w:tr w14:paraId="2048C0F9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vAlign w:val="center"/>
          </w:tcPr>
          <w:p w14:paraId="2FCDACF5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EVM</w:t>
            </w:r>
          </w:p>
        </w:tc>
        <w:tc>
          <w:tcPr>
            <w:tcW w:w="3345" w:type="pct"/>
            <w:noWrap/>
            <w:vAlign w:val="center"/>
          </w:tcPr>
          <w:p w14:paraId="0774A0C8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 xml:space="preserve">LTE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8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%</w:t>
            </w:r>
          </w:p>
        </w:tc>
      </w:tr>
      <w:tr w14:paraId="69C961A3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shd w:val="clear" w:color="auto" w:fill="D0E6F6"/>
            <w:vAlign w:val="center"/>
          </w:tcPr>
          <w:p w14:paraId="221FC4CC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Frequency Stability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62E79844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±0.01 ppm</w:t>
            </w:r>
          </w:p>
        </w:tc>
      </w:tr>
      <w:tr w14:paraId="585F247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</w:tblPrEx>
        <w:trPr>
          <w:trHeight w:val="342" w:hRule="atLeast"/>
        </w:trPr>
        <w:tc>
          <w:tcPr>
            <w:tcW w:w="1654" w:type="pct"/>
            <w:gridSpan w:val="2"/>
            <w:noWrap/>
            <w:vAlign w:val="center"/>
          </w:tcPr>
          <w:p w14:paraId="6DB38A7F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Noise Figure</w:t>
            </w:r>
          </w:p>
        </w:tc>
        <w:tc>
          <w:tcPr>
            <w:tcW w:w="3345" w:type="pct"/>
            <w:noWrap/>
            <w:vAlign w:val="center"/>
          </w:tcPr>
          <w:p w14:paraId="1BD513A3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6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</w:tr>
      <w:tr w14:paraId="6365F7EB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shd w:val="clear" w:color="auto" w:fill="D0E6F6"/>
            <w:noWrap/>
            <w:vAlign w:val="center"/>
          </w:tcPr>
          <w:p w14:paraId="5506B14F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VSWR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7CCD19DC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≦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1.8</w:t>
            </w:r>
          </w:p>
        </w:tc>
      </w:tr>
      <w:tr w14:paraId="2D6FD3D8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noWrap/>
            <w:vAlign w:val="center"/>
          </w:tcPr>
          <w:p w14:paraId="59E4DAE5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System Delay</w:t>
            </w:r>
          </w:p>
        </w:tc>
        <w:tc>
          <w:tcPr>
            <w:tcW w:w="3345" w:type="pct"/>
            <w:noWrap/>
            <w:vAlign w:val="center"/>
          </w:tcPr>
          <w:p w14:paraId="3BAE6BF1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4.5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µ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s</w:t>
            </w:r>
          </w:p>
        </w:tc>
      </w:tr>
      <w:tr w14:paraId="0D23E4AA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shd w:val="clear" w:color="auto" w:fill="D0E6F6"/>
            <w:vAlign w:val="center"/>
          </w:tcPr>
          <w:p w14:paraId="361ED066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RF Connector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572DA51B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2*build-in antenna，2*SMA-female（switchable）</w:t>
            </w:r>
          </w:p>
        </w:tc>
      </w:tr>
      <w:tr w14:paraId="3322B2C3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vAlign w:val="center"/>
          </w:tcPr>
          <w:p w14:paraId="3507F7CB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Impedance</w:t>
            </w:r>
          </w:p>
        </w:tc>
        <w:tc>
          <w:tcPr>
            <w:tcW w:w="3345" w:type="pct"/>
            <w:noWrap/>
            <w:vAlign w:val="center"/>
          </w:tcPr>
          <w:p w14:paraId="0DB9FCC4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50 Ω</w:t>
            </w:r>
          </w:p>
        </w:tc>
      </w:tr>
      <w:tr w14:paraId="47203B57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shd w:val="clear" w:color="auto" w:fill="D0E6F6"/>
            <w:vAlign w:val="center"/>
          </w:tcPr>
          <w:p w14:paraId="5530A839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Power Supply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46B27430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AC100-240V in， DC12V3A out</w:t>
            </w:r>
          </w:p>
        </w:tc>
      </w:tr>
      <w:tr w14:paraId="3D4110A2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vAlign w:val="center"/>
          </w:tcPr>
          <w:p w14:paraId="3A9153A5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Power Consumption</w:t>
            </w:r>
          </w:p>
        </w:tc>
        <w:tc>
          <w:tcPr>
            <w:tcW w:w="3345" w:type="pct"/>
            <w:noWrap/>
            <w:vAlign w:val="center"/>
          </w:tcPr>
          <w:p w14:paraId="7442AF04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30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W</w:t>
            </w:r>
          </w:p>
        </w:tc>
      </w:tr>
      <w:tr w14:paraId="3E9798F0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shd w:val="clear" w:color="auto" w:fill="D0E6F6"/>
            <w:vAlign w:val="center"/>
          </w:tcPr>
          <w:p w14:paraId="0427EB26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Dimensions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0A74D18C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190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eastAsia="zh-CN"/>
              </w:rPr>
              <w:t>*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170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eastAsia="zh-CN"/>
              </w:rPr>
              <w:t>*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80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mm </w:t>
            </w:r>
          </w:p>
        </w:tc>
      </w:tr>
      <w:tr w14:paraId="26D66DCB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vAlign w:val="center"/>
          </w:tcPr>
          <w:p w14:paraId="58D3080D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Weight</w:t>
            </w:r>
          </w:p>
        </w:tc>
        <w:tc>
          <w:tcPr>
            <w:tcW w:w="3345" w:type="pct"/>
            <w:noWrap/>
            <w:vAlign w:val="center"/>
          </w:tcPr>
          <w:p w14:paraId="32E8C4E6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1.5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kgs</w:t>
            </w:r>
          </w:p>
        </w:tc>
      </w:tr>
      <w:tr w14:paraId="15DD07D4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shd w:val="clear" w:color="auto" w:fill="DEEBF6" w:themeFill="accent5" w:themeFillTint="32"/>
            <w:vAlign w:val="center"/>
          </w:tcPr>
          <w:p w14:paraId="56942468">
            <w:pP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  <w:t>Humidity</w:t>
            </w:r>
          </w:p>
        </w:tc>
        <w:tc>
          <w:tcPr>
            <w:tcW w:w="3345" w:type="pct"/>
            <w:shd w:val="clear" w:color="auto" w:fill="DEEBF6" w:themeFill="accent5" w:themeFillTint="32"/>
            <w:noWrap/>
            <w:vAlign w:val="center"/>
          </w:tcPr>
          <w:p w14:paraId="4A8C1026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5% to 95%</w:t>
            </w:r>
          </w:p>
        </w:tc>
      </w:tr>
      <w:tr w14:paraId="09A9D7F4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vAlign w:val="center"/>
          </w:tcPr>
          <w:p w14:paraId="1DCDE309">
            <w:pPr>
              <w:rPr>
                <w:rFonts w:hint="default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  <w:t>MTBF</w:t>
            </w:r>
          </w:p>
        </w:tc>
        <w:tc>
          <w:tcPr>
            <w:tcW w:w="3345" w:type="pct"/>
            <w:noWrap/>
            <w:vAlign w:val="center"/>
          </w:tcPr>
          <w:p w14:paraId="66776C0F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＞50000 hours</w:t>
            </w:r>
          </w:p>
        </w:tc>
      </w:tr>
      <w:tr w14:paraId="6530199D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vAlign w:val="center"/>
          </w:tcPr>
          <w:p w14:paraId="32400998">
            <w:pPr>
              <w:rPr>
                <w:rFonts w:hint="default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  <w:lang w:val="en-US" w:eastAsia="zh-CN"/>
              </w:rPr>
              <w:t>Installation</w:t>
            </w:r>
          </w:p>
        </w:tc>
        <w:tc>
          <w:tcPr>
            <w:tcW w:w="3345" w:type="pct"/>
            <w:noWrap/>
            <w:vAlign w:val="center"/>
          </w:tcPr>
          <w:p w14:paraId="4C40FC81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Wall or pole mount</w:t>
            </w:r>
          </w:p>
        </w:tc>
      </w:tr>
      <w:tr w14:paraId="4FED0EB3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shd w:val="clear" w:color="auto" w:fill="D0E6F6"/>
            <w:vAlign w:val="center"/>
          </w:tcPr>
          <w:p w14:paraId="0B3ECE1B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IP Rating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03758E9F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 xml:space="preserve">Indoor 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IP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40</w:t>
            </w:r>
          </w:p>
        </w:tc>
      </w:tr>
      <w:tr w14:paraId="1A18AE75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4" w:type="pct"/>
            <w:gridSpan w:val="2"/>
            <w:vAlign w:val="center"/>
          </w:tcPr>
          <w:p w14:paraId="5459D7EC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Operating Temperature</w:t>
            </w:r>
          </w:p>
        </w:tc>
        <w:tc>
          <w:tcPr>
            <w:tcW w:w="3345" w:type="pct"/>
            <w:noWrap/>
            <w:vAlign w:val="center"/>
          </w:tcPr>
          <w:p w14:paraId="15BD4BFC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-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10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°C to 5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°C</w:t>
            </w:r>
          </w:p>
        </w:tc>
      </w:tr>
      <w:tr w14:paraId="16085B68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49" w:type="pct"/>
            <w:vMerge w:val="restart"/>
            <w:shd w:val="clear" w:color="auto" w:fill="D0E6F6"/>
            <w:vAlign w:val="center"/>
          </w:tcPr>
          <w:p w14:paraId="3FE982EA">
            <w:pPr>
              <w:jc w:val="left"/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Control &amp; Monitoring</w:t>
            </w:r>
          </w:p>
        </w:tc>
        <w:tc>
          <w:tcPr>
            <w:tcW w:w="1104" w:type="pct"/>
            <w:shd w:val="clear" w:color="auto" w:fill="D0E6F6"/>
            <w:vAlign w:val="center"/>
          </w:tcPr>
          <w:p w14:paraId="7C501EA0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Local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28B3D53D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USB with APP</w:t>
            </w:r>
          </w:p>
        </w:tc>
      </w:tr>
      <w:tr w14:paraId="0160DA03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49" w:type="pct"/>
            <w:vMerge w:val="continue"/>
            <w:shd w:val="clear" w:color="auto" w:fill="D0E6F6"/>
            <w:vAlign w:val="center"/>
          </w:tcPr>
          <w:p w14:paraId="619E8A92"/>
        </w:tc>
        <w:tc>
          <w:tcPr>
            <w:tcW w:w="1104" w:type="pct"/>
            <w:shd w:val="clear" w:color="auto" w:fill="D0E6F6"/>
            <w:vAlign w:val="center"/>
          </w:tcPr>
          <w:p w14:paraId="6BBBD57A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Remote</w:t>
            </w:r>
          </w:p>
        </w:tc>
        <w:tc>
          <w:tcPr>
            <w:tcW w:w="3345" w:type="pct"/>
            <w:shd w:val="clear" w:color="auto" w:fill="D0E6F6"/>
            <w:noWrap/>
            <w:vAlign w:val="center"/>
          </w:tcPr>
          <w:p w14:paraId="3FA80ABC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LTE modem</w:t>
            </w:r>
          </w:p>
        </w:tc>
      </w:tr>
    </w:tbl>
    <w:p w14:paraId="66F327B3">
      <w:pP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>Technical spec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i</w:t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>fication is subject to change without prior notice.</w:t>
      </w:r>
    </w:p>
    <w:p w14:paraId="1946F5FD"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873" w:right="1134" w:bottom="873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Normal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4E40E765">
    <w:panose1 w:val="020B0703020204020201"/>
    <w:charset w:val="86"/>
    <w:family w:val="auto"/>
    <w:pitch w:val="default"/>
    <w:sig w:usb0="00000001" w:usb1="00000000" w:usb2="00000000" w:usb3="00000000" w:csb0="00060001" w:csb1="00000000"/>
  </w:font>
  <w:font w:name="KSOF4C8C0EC6">
    <w:panose1 w:val="020B0503020204020204"/>
    <w:charset w:val="86"/>
    <w:family w:val="auto"/>
    <w:pitch w:val="default"/>
    <w:sig w:usb0="00000001" w:usb1="00000000" w:usb2="00000000" w:usb3="00000000" w:csb0="0006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DEB07">
    <w:pPr>
      <w:pStyle w:val="2"/>
      <w:jc w:val="right"/>
      <w:rPr>
        <w:rFonts w:hint="eastAsia"/>
      </w:rPr>
    </w:pPr>
    <w:r>
      <w:rPr>
        <w:rFonts w:ascii="Calibri" w:hAnsi="Calibri" w:eastAsia="宋体" w:cs="Calibri"/>
        <w:b/>
        <w:bCs/>
        <w:color w:val="0070C0"/>
        <w:sz w:val="24"/>
        <w:szCs w:val="24"/>
        <w:shd w:val="clear" w:color="auto" w:fill="FFFFFF"/>
      </w:rPr>
      <w:t>www.atnjtech.com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7AC97">
    <w:pPr>
      <w:pStyle w:val="3"/>
      <w:pBdr>
        <w:bottom w:val="none" w:color="auto" w:sz="0" w:space="0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DE46FA"/>
    <w:multiLevelType w:val="multilevel"/>
    <w:tmpl w:val="7BDE46FA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  <w:sz w:val="16"/>
        <w:szCs w:val="16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IxODFjMTU1ZmI4N2YyNDM1ZTVmYmJmYmVjNTE5MzgifQ=="/>
  </w:docVars>
  <w:rsids>
    <w:rsidRoot w:val="000218DE"/>
    <w:rsid w:val="00017335"/>
    <w:rsid w:val="000218DE"/>
    <w:rsid w:val="00095D4A"/>
    <w:rsid w:val="000A3F47"/>
    <w:rsid w:val="000B0399"/>
    <w:rsid w:val="000D72BE"/>
    <w:rsid w:val="00104F1E"/>
    <w:rsid w:val="001540B0"/>
    <w:rsid w:val="00195FDE"/>
    <w:rsid w:val="001C3E56"/>
    <w:rsid w:val="001E1838"/>
    <w:rsid w:val="002340F6"/>
    <w:rsid w:val="002377F8"/>
    <w:rsid w:val="002A062F"/>
    <w:rsid w:val="002D6712"/>
    <w:rsid w:val="002E6DDC"/>
    <w:rsid w:val="00393B18"/>
    <w:rsid w:val="003A545F"/>
    <w:rsid w:val="003D4C15"/>
    <w:rsid w:val="003D7075"/>
    <w:rsid w:val="003F64C9"/>
    <w:rsid w:val="00416208"/>
    <w:rsid w:val="00420AC2"/>
    <w:rsid w:val="004309DD"/>
    <w:rsid w:val="0043164A"/>
    <w:rsid w:val="00455CB2"/>
    <w:rsid w:val="0049653A"/>
    <w:rsid w:val="004A6EF6"/>
    <w:rsid w:val="004D53A1"/>
    <w:rsid w:val="00535D2E"/>
    <w:rsid w:val="00554A7C"/>
    <w:rsid w:val="00560BD3"/>
    <w:rsid w:val="00583015"/>
    <w:rsid w:val="00717E1A"/>
    <w:rsid w:val="0074626B"/>
    <w:rsid w:val="007721B5"/>
    <w:rsid w:val="00772FFF"/>
    <w:rsid w:val="007A1B2A"/>
    <w:rsid w:val="007B3DD2"/>
    <w:rsid w:val="00897400"/>
    <w:rsid w:val="008B25F6"/>
    <w:rsid w:val="0093747F"/>
    <w:rsid w:val="00975BEE"/>
    <w:rsid w:val="00A43E8F"/>
    <w:rsid w:val="00A85FEF"/>
    <w:rsid w:val="00AA211A"/>
    <w:rsid w:val="00AE4C52"/>
    <w:rsid w:val="00B016F1"/>
    <w:rsid w:val="00B10161"/>
    <w:rsid w:val="00B224EC"/>
    <w:rsid w:val="00B31E35"/>
    <w:rsid w:val="00BB2F13"/>
    <w:rsid w:val="00BC29B8"/>
    <w:rsid w:val="00BD252F"/>
    <w:rsid w:val="00BD5E4B"/>
    <w:rsid w:val="00BE40BE"/>
    <w:rsid w:val="00C801CE"/>
    <w:rsid w:val="00C81807"/>
    <w:rsid w:val="00CE5C40"/>
    <w:rsid w:val="00D02D87"/>
    <w:rsid w:val="00D232F5"/>
    <w:rsid w:val="00D35265"/>
    <w:rsid w:val="00D66E19"/>
    <w:rsid w:val="00D92D12"/>
    <w:rsid w:val="00D96300"/>
    <w:rsid w:val="00DD4B8C"/>
    <w:rsid w:val="00DE4365"/>
    <w:rsid w:val="00DE5178"/>
    <w:rsid w:val="00DF4632"/>
    <w:rsid w:val="00E12E35"/>
    <w:rsid w:val="00E52AB5"/>
    <w:rsid w:val="00E91DB3"/>
    <w:rsid w:val="00E936EA"/>
    <w:rsid w:val="00FC7603"/>
    <w:rsid w:val="00FF3336"/>
    <w:rsid w:val="01C90477"/>
    <w:rsid w:val="09724BD4"/>
    <w:rsid w:val="0B3B357C"/>
    <w:rsid w:val="0C772F6E"/>
    <w:rsid w:val="0DE349D8"/>
    <w:rsid w:val="104E340B"/>
    <w:rsid w:val="13D50C07"/>
    <w:rsid w:val="14D03F84"/>
    <w:rsid w:val="18E402E6"/>
    <w:rsid w:val="1E4273D0"/>
    <w:rsid w:val="1EE56B6D"/>
    <w:rsid w:val="1F005573"/>
    <w:rsid w:val="263D11B2"/>
    <w:rsid w:val="27DF4F47"/>
    <w:rsid w:val="2D9856DD"/>
    <w:rsid w:val="2FEF6701"/>
    <w:rsid w:val="304828D8"/>
    <w:rsid w:val="313C1487"/>
    <w:rsid w:val="323243B7"/>
    <w:rsid w:val="32B914FA"/>
    <w:rsid w:val="33B62892"/>
    <w:rsid w:val="3FA453ED"/>
    <w:rsid w:val="47735033"/>
    <w:rsid w:val="4A26671B"/>
    <w:rsid w:val="4EB1105A"/>
    <w:rsid w:val="52A705E3"/>
    <w:rsid w:val="56F27D78"/>
    <w:rsid w:val="596E620C"/>
    <w:rsid w:val="5A9717FD"/>
    <w:rsid w:val="6021514E"/>
    <w:rsid w:val="60847615"/>
    <w:rsid w:val="618C17C7"/>
    <w:rsid w:val="61D13582"/>
    <w:rsid w:val="6329048D"/>
    <w:rsid w:val="639E113D"/>
    <w:rsid w:val="64EE7217"/>
    <w:rsid w:val="64FE71DF"/>
    <w:rsid w:val="66E22694"/>
    <w:rsid w:val="672E3A36"/>
    <w:rsid w:val="6876018C"/>
    <w:rsid w:val="6B0D712F"/>
    <w:rsid w:val="6B580077"/>
    <w:rsid w:val="6C3D30A4"/>
    <w:rsid w:val="72730565"/>
    <w:rsid w:val="739E7864"/>
    <w:rsid w:val="75BC65D3"/>
    <w:rsid w:val="7B611E00"/>
    <w:rsid w:val="7BA556E3"/>
    <w:rsid w:val="7BCC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  <w:style w:type="table" w:customStyle="1" w:styleId="8">
    <w:name w:val="清单表 4 - 着色 21"/>
    <w:basedOn w:val="4"/>
    <w:autoRedefine/>
    <w:qFormat/>
    <w:uiPriority w:val="49"/>
    <w:tblPr>
      <w:tblBorders>
        <w:top w:val="single" w:color="74B5E4" w:sz="4" w:space="0"/>
        <w:left w:val="single" w:color="74B5E4" w:sz="4" w:space="0"/>
        <w:bottom w:val="single" w:color="74B5E4" w:sz="4" w:space="0"/>
        <w:right w:val="single" w:color="74B5E4" w:sz="4" w:space="0"/>
      </w:tblBorders>
    </w:tblPr>
    <w:tblStylePr w:type="firstRow">
      <w:rPr>
        <w:b/>
        <w:bCs/>
        <w:color w:val="FFFFFF"/>
      </w:rPr>
      <w:tcPr>
        <w:tcBorders>
          <w:top w:val="single" w:color="2683C6" w:sz="4" w:space="0"/>
          <w:left w:val="single" w:color="2683C6" w:sz="4" w:space="0"/>
          <w:bottom w:val="single" w:color="2683C6" w:sz="4" w:space="0"/>
          <w:right w:val="single" w:color="2683C6" w:sz="4" w:space="0"/>
          <w:insideH w:val="nil"/>
        </w:tcBorders>
        <w:shd w:val="clear" w:color="auto" w:fill="2683C6"/>
      </w:tcPr>
    </w:tblStylePr>
    <w:tblStylePr w:type="lastRow">
      <w:rPr>
        <w:b/>
        <w:bCs/>
      </w:rPr>
      <w:tcPr>
        <w:tcBorders>
          <w:top w:val="double" w:color="74B5E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0E6F6"/>
      </w:tcPr>
    </w:tblStylePr>
    <w:tblStylePr w:type="band1Horz">
      <w:tcPr>
        <w:shd w:val="clear" w:color="auto" w:fill="D0E6F6"/>
      </w:tcPr>
    </w:tblStylePr>
  </w:style>
  <w:style w:type="table" w:customStyle="1" w:styleId="9">
    <w:name w:val="清单表 4 - 着色 22"/>
    <w:basedOn w:val="4"/>
    <w:autoRedefine/>
    <w:qFormat/>
    <w:uiPriority w:val="49"/>
    <w:tblPr>
      <w:tblBorders>
        <w:top w:val="single" w:color="74B5E4" w:sz="4" w:space="0"/>
        <w:left w:val="single" w:color="74B5E4" w:sz="4" w:space="0"/>
        <w:bottom w:val="single" w:color="74B5E4" w:sz="4" w:space="0"/>
        <w:right w:val="single" w:color="74B5E4" w:sz="4" w:space="0"/>
        <w:insideH w:val="single" w:color="74B5E4" w:sz="4" w:space="0"/>
      </w:tblBorders>
    </w:tblPr>
    <w:tblStylePr w:type="firstRow">
      <w:rPr>
        <w:b/>
        <w:bCs/>
        <w:color w:val="FFFFFF"/>
      </w:rPr>
      <w:tcPr>
        <w:tcBorders>
          <w:top w:val="single" w:color="2683C6" w:sz="4" w:space="0"/>
          <w:left w:val="single" w:color="2683C6" w:sz="4" w:space="0"/>
          <w:bottom w:val="single" w:color="2683C6" w:sz="4" w:space="0"/>
          <w:right w:val="single" w:color="2683C6" w:sz="4" w:space="0"/>
          <w:insideH w:val="nil"/>
        </w:tcBorders>
        <w:shd w:val="clear" w:color="auto" w:fill="2683C6"/>
      </w:tcPr>
    </w:tblStylePr>
    <w:tblStylePr w:type="lastRow">
      <w:rPr>
        <w:b/>
        <w:bCs/>
      </w:rPr>
      <w:tcPr>
        <w:tcBorders>
          <w:top w:val="double" w:color="74B5E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0E6F6"/>
      </w:tcPr>
    </w:tblStylePr>
    <w:tblStylePr w:type="band1Horz">
      <w:tcPr>
        <w:shd w:val="clear" w:color="auto" w:fill="D0E6F6"/>
      </w:tcPr>
    </w:tblStyle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table" w:customStyle="1" w:styleId="11">
    <w:name w:val="网格表 4 - 着色 21"/>
    <w:basedOn w:val="4"/>
    <w:autoRedefine/>
    <w:qFormat/>
    <w:uiPriority w:val="49"/>
    <w:tblPr>
      <w:tblBorders>
        <w:top w:val="single" w:color="74B5E4" w:sz="4" w:space="0"/>
        <w:left w:val="single" w:color="74B5E4" w:sz="4" w:space="0"/>
        <w:bottom w:val="single" w:color="74B5E4" w:sz="4" w:space="0"/>
        <w:right w:val="single" w:color="74B5E4" w:sz="4" w:space="0"/>
        <w:insideH w:val="single" w:color="74B5E4" w:sz="4" w:space="0"/>
        <w:insideV w:val="single" w:color="74B5E4" w:sz="4" w:space="0"/>
      </w:tblBorders>
    </w:tblPr>
    <w:tblStylePr w:type="firstRow">
      <w:rPr>
        <w:b/>
        <w:bCs/>
        <w:color w:val="FFFFFF"/>
      </w:rPr>
      <w:tcPr>
        <w:tcBorders>
          <w:top w:val="single" w:color="2683C6" w:sz="4" w:space="0"/>
          <w:left w:val="single" w:color="2683C6" w:sz="4" w:space="0"/>
          <w:bottom w:val="single" w:color="2683C6" w:sz="4" w:space="0"/>
          <w:right w:val="single" w:color="2683C6" w:sz="4" w:space="0"/>
          <w:insideH w:val="nil"/>
          <w:insideV w:val="nil"/>
        </w:tcBorders>
        <w:shd w:val="clear" w:color="auto" w:fill="2683C6"/>
      </w:tcPr>
    </w:tblStylePr>
    <w:tblStylePr w:type="lastRow">
      <w:rPr>
        <w:b/>
        <w:bCs/>
      </w:rPr>
      <w:tcPr>
        <w:tcBorders>
          <w:top w:val="double" w:color="2683C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0E6F6"/>
      </w:tcPr>
    </w:tblStylePr>
    <w:tblStylePr w:type="band1Horz">
      <w:tcPr>
        <w:shd w:val="clear" w:color="auto" w:fill="D0E6F6"/>
      </w:tcPr>
    </w:tblStylePr>
  </w:style>
  <w:style w:type="table" w:customStyle="1" w:styleId="12">
    <w:name w:val="网格表 4 - 着色 22"/>
    <w:basedOn w:val="4"/>
    <w:autoRedefine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character" w:customStyle="1" w:styleId="13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21"/>
    <w:basedOn w:val="5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5">
    <w:name w:val="font11"/>
    <w:basedOn w:val="5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</Words>
  <Characters>1551</Characters>
  <Lines>16</Lines>
  <Paragraphs>4</Paragraphs>
  <TotalTime>5</TotalTime>
  <ScaleCrop>false</ScaleCrop>
  <LinksUpToDate>false</LinksUpToDate>
  <CharactersWithSpaces>1738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2024-10-21T08:19:00Z</dcterms:created>
  <dc:creator>Chi Wei</dc:creator>
  <cp:lastModifiedBy>Administrator</cp:lastModifiedBy>
  <dcterms:modified xsi:type="dcterms:W3CDTF">2026-09-28T09:56:27Z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165486E996014DA6876414F0CFF2F187_13</vt:lpwstr>
  </property>
  <property fmtid="{D5CDD505-2E9C-101B-9397-08002B2CF9AE}" pid="4" name="KSOTemplateDocerSaveRecord">
    <vt:lpwstr>eyJoZGlkIjoiMGU3Y2ZlN2ViNmIxYjJhZTEwNzY2YTI1YzE1MjAyNjUiLCJ1c2VySWQiOiIxNzIxNzQ1MDgzIn0=</vt:lpwstr>
  </property>
</Properties>
</file>